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A T K É R É </w:t>
      </w:r>
      <w:r w:rsidR="00A65BE9">
        <w:rPr>
          <w:b/>
          <w:sz w:val="26"/>
          <w:u w:val="single"/>
        </w:rPr>
        <w:t>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Pr="00B90CF6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trike/>
          <w:sz w:val="26"/>
        </w:rPr>
      </w:pPr>
    </w:p>
    <w:p w:rsidR="00F1604F" w:rsidRDefault="00B90C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Tiszaújváros Város Önkormányzata</w:t>
      </w:r>
      <w:r w:rsidR="00F1604F" w:rsidRPr="00C271E6">
        <w:rPr>
          <w:sz w:val="26"/>
        </w:rPr>
        <w:t xml:space="preserve"> </w:t>
      </w:r>
      <w:r w:rsidR="00F1604F">
        <w:rPr>
          <w:sz w:val="26"/>
        </w:rPr>
        <w:t xml:space="preserve">(3580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7.,</w:t>
      </w:r>
      <w:r w:rsidR="00F1604F">
        <w:rPr>
          <w:sz w:val="26"/>
        </w:rPr>
        <w:t xml:space="preserve">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Önkormányzati ASP csatlakozással kapcsolatos </w:t>
      </w:r>
      <w:r w:rsidR="00A66E98">
        <w:rPr>
          <w:b/>
          <w:i/>
          <w:sz w:val="26"/>
        </w:rPr>
        <w:t>hardver elemek beszerzése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B90C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Tiszaújváros Város Önkormányzata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 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871E3E" w:rsidRDefault="00293FEA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293FEA" w:rsidRDefault="00293FE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871E3E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293FEA">
        <w:rPr>
          <w:sz w:val="26"/>
        </w:rPr>
        <w:t>54</w:t>
      </w:r>
      <w:r w:rsidR="00871E3E">
        <w:rPr>
          <w:sz w:val="26"/>
        </w:rPr>
        <w:t>8 055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871E3E">
        <w:rPr>
          <w:sz w:val="26"/>
        </w:rPr>
        <w:t>548 054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871E3E">
        <w:rPr>
          <w:sz w:val="26"/>
        </w:rPr>
        <w:t xml:space="preserve">kisscsaba@tujvaros.hu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B90CF6" w:rsidP="00A66E9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 w:rsidRPr="00C271E6">
        <w:rPr>
          <w:i/>
          <w:sz w:val="26"/>
        </w:rPr>
        <w:t>A KÖFOP-1.2.1-VEKOP-16 kódszámú</w:t>
      </w:r>
      <w:r w:rsidRPr="00C271E6">
        <w:rPr>
          <w:b/>
          <w:i/>
          <w:sz w:val="26"/>
        </w:rPr>
        <w:t xml:space="preserve"> </w:t>
      </w:r>
      <w:r w:rsidR="002950F1" w:rsidRPr="00C271E6">
        <w:rPr>
          <w:i/>
          <w:sz w:val="26"/>
          <w:szCs w:val="26"/>
        </w:rPr>
        <w:t>„</w:t>
      </w:r>
      <w:r w:rsidR="002950F1"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="002950F1"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="002950F1"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="002950F1" w:rsidRPr="00C271E6">
        <w:rPr>
          <w:rFonts w:eastAsia="Calibri"/>
          <w:bCs/>
          <w:sz w:val="26"/>
          <w:szCs w:val="26"/>
        </w:rPr>
        <w:t xml:space="preserve"> </w:t>
      </w:r>
      <w:r w:rsidRPr="00C271E6">
        <w:rPr>
          <w:i/>
          <w:sz w:val="26"/>
          <w:szCs w:val="26"/>
        </w:rPr>
        <w:t>p</w:t>
      </w:r>
      <w:r w:rsidRPr="00C271E6">
        <w:rPr>
          <w:i/>
          <w:sz w:val="26"/>
        </w:rPr>
        <w:t>ályázat</w:t>
      </w:r>
      <w:r w:rsidR="00A66E98">
        <w:rPr>
          <w:i/>
          <w:sz w:val="26"/>
        </w:rPr>
        <w:t>ban megjelölt vagy meghatározott egyes hardver elemek beszerzése.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Műszaki dokumentáció jelen ajánlatkéréshez nem </w:t>
      </w:r>
      <w:r w:rsidR="00A66E98">
        <w:rPr>
          <w:sz w:val="26"/>
          <w:szCs w:val="26"/>
        </w:rPr>
        <w:t xml:space="preserve">tartozik, az ajánlatkérésben a beszerzésre kerülő hardver elemek pontos megjelölései </w:t>
      </w:r>
      <w:r>
        <w:rPr>
          <w:sz w:val="26"/>
          <w:szCs w:val="26"/>
        </w:rPr>
        <w:t>szerepelnek.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A66E98" w:rsidRDefault="00293FEA" w:rsidP="00A66E9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sz w:val="26"/>
        </w:rPr>
        <w:t>Adásvételi</w:t>
      </w:r>
      <w:r w:rsidR="00871E3E">
        <w:rPr>
          <w:sz w:val="26"/>
        </w:rPr>
        <w:t xml:space="preserve"> szerződés </w:t>
      </w:r>
      <w:r w:rsidR="002950F1">
        <w:rPr>
          <w:sz w:val="26"/>
        </w:rPr>
        <w:t>a</w:t>
      </w:r>
      <w:r w:rsidR="002950F1" w:rsidRPr="002950F1">
        <w:rPr>
          <w:i/>
          <w:color w:val="FF0000"/>
          <w:sz w:val="26"/>
        </w:rPr>
        <w:t xml:space="preserve"> </w:t>
      </w:r>
      <w:r w:rsidR="002950F1" w:rsidRPr="00C271E6">
        <w:rPr>
          <w:i/>
          <w:sz w:val="26"/>
        </w:rPr>
        <w:t>KÖFOP-1.2.1-VEKOP-16 kódszámú</w:t>
      </w:r>
      <w:r w:rsidR="002950F1" w:rsidRPr="00C271E6">
        <w:rPr>
          <w:b/>
          <w:i/>
          <w:sz w:val="26"/>
        </w:rPr>
        <w:t xml:space="preserve"> </w:t>
      </w:r>
      <w:r w:rsidR="002950F1" w:rsidRPr="00C271E6">
        <w:rPr>
          <w:i/>
          <w:sz w:val="26"/>
          <w:szCs w:val="26"/>
        </w:rPr>
        <w:t>„</w:t>
      </w:r>
      <w:r w:rsidR="002950F1"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="002950F1"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="002950F1"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="002950F1" w:rsidRPr="00C271E6">
        <w:rPr>
          <w:rFonts w:eastAsia="Calibri"/>
          <w:bCs/>
          <w:sz w:val="26"/>
          <w:szCs w:val="26"/>
        </w:rPr>
        <w:t xml:space="preserve"> </w:t>
      </w:r>
      <w:r w:rsidR="002950F1" w:rsidRPr="00C271E6">
        <w:rPr>
          <w:i/>
          <w:sz w:val="26"/>
          <w:szCs w:val="26"/>
        </w:rPr>
        <w:t>p</w:t>
      </w:r>
      <w:r w:rsidR="002950F1" w:rsidRPr="00C271E6">
        <w:rPr>
          <w:i/>
          <w:sz w:val="26"/>
        </w:rPr>
        <w:t>ályázat</w:t>
      </w:r>
      <w:r w:rsidR="00A66E98">
        <w:rPr>
          <w:i/>
          <w:sz w:val="26"/>
        </w:rPr>
        <w:t>ban</w:t>
      </w:r>
      <w:r w:rsidR="002950F1" w:rsidRPr="00C271E6">
        <w:rPr>
          <w:i/>
          <w:sz w:val="26"/>
        </w:rPr>
        <w:t xml:space="preserve"> </w:t>
      </w:r>
      <w:r w:rsidR="00A66E98">
        <w:rPr>
          <w:i/>
          <w:sz w:val="26"/>
        </w:rPr>
        <w:t>megjelölt vagy meghatározott egyes hardver elemek beszerzésére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gramStart"/>
      <w:r>
        <w:rPr>
          <w:sz w:val="26"/>
        </w:rPr>
        <w:lastRenderedPageBreak/>
        <w:t>tárgyában</w:t>
      </w:r>
      <w:proofErr w:type="gramEnd"/>
      <w:r>
        <w:rPr>
          <w:sz w:val="26"/>
        </w:rPr>
        <w:t>.</w:t>
      </w:r>
    </w:p>
    <w:p w:rsidR="00293FEA" w:rsidRDefault="00293FE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293FEA">
        <w:rPr>
          <w:sz w:val="26"/>
        </w:rPr>
        <w:t>határideje</w:t>
      </w:r>
      <w:r>
        <w:rPr>
          <w:sz w:val="26"/>
        </w:rPr>
        <w:t xml:space="preserve">: </w:t>
      </w:r>
      <w:r w:rsidR="00293FEA">
        <w:rPr>
          <w:sz w:val="26"/>
        </w:rPr>
        <w:t>2017. szeptember 30.</w:t>
      </w:r>
    </w:p>
    <w:p w:rsidR="00F1604F" w:rsidRPr="00566B09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566B09"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</w:t>
      </w:r>
      <w:r>
        <w:rPr>
          <w:sz w:val="26"/>
          <w:szCs w:val="26"/>
        </w:rPr>
        <w:lastRenderedPageBreak/>
        <w:t>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E37962" w:rsidRDefault="00E37962" w:rsidP="00E3796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2017. augusztus </w:t>
      </w:r>
      <w:r>
        <w:rPr>
          <w:sz w:val="26"/>
        </w:rPr>
        <w:t>9</w:t>
      </w:r>
      <w:proofErr w:type="gramStart"/>
      <w:r>
        <w:rPr>
          <w:sz w:val="26"/>
        </w:rPr>
        <w:t>.,</w:t>
      </w:r>
      <w:proofErr w:type="gramEnd"/>
      <w:r>
        <w:rPr>
          <w:sz w:val="26"/>
        </w:rPr>
        <w:t xml:space="preserve"> 9</w:t>
      </w:r>
      <w:r w:rsidRPr="00995E6F">
        <w:rPr>
          <w:sz w:val="26"/>
          <w:u w:val="single"/>
          <w:vertAlign w:val="superscript"/>
        </w:rPr>
        <w:t>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II. emelet, 211. szoba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871E3E">
        <w:rPr>
          <w:sz w:val="26"/>
        </w:rPr>
        <w:t>12</w:t>
      </w:r>
      <w:r>
        <w:rPr>
          <w:sz w:val="26"/>
        </w:rPr>
        <w:t xml:space="preserve"> óra között, az ajánlattételi határidő lejártának napján 8 és </w:t>
      </w:r>
      <w:r w:rsidR="00871E3E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Pr="00A66E98" w:rsidRDefault="00A66E98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 w:rsidRPr="00A66E98">
        <w:rPr>
          <w:b/>
          <w:i/>
          <w:sz w:val="26"/>
        </w:rPr>
        <w:t xml:space="preserve">A KÖFOP-1.2.1-VEKOP-16 kódszámú </w:t>
      </w:r>
      <w:r w:rsidRPr="00A66E98">
        <w:rPr>
          <w:b/>
          <w:i/>
          <w:sz w:val="26"/>
          <w:szCs w:val="26"/>
        </w:rPr>
        <w:t>„</w:t>
      </w:r>
      <w:r w:rsidRPr="00A66E98">
        <w:rPr>
          <w:rFonts w:eastAsia="Calibri"/>
          <w:b/>
          <w:bCs/>
          <w:i/>
          <w:sz w:val="26"/>
          <w:szCs w:val="26"/>
        </w:rPr>
        <w:t xml:space="preserve">Csatlakoztatási konstrukció az önkormányzati </w:t>
      </w:r>
      <w:proofErr w:type="spellStart"/>
      <w:r w:rsidRPr="00A66E98">
        <w:rPr>
          <w:rFonts w:eastAsia="Calibri"/>
          <w:b/>
          <w:bCs/>
          <w:i/>
          <w:sz w:val="26"/>
          <w:szCs w:val="26"/>
        </w:rPr>
        <w:t>ASP-rendszer</w:t>
      </w:r>
      <w:proofErr w:type="spellEnd"/>
      <w:r w:rsidRPr="00A66E98">
        <w:rPr>
          <w:rFonts w:eastAsia="Calibri"/>
          <w:b/>
          <w:bCs/>
          <w:i/>
          <w:sz w:val="26"/>
          <w:szCs w:val="26"/>
        </w:rPr>
        <w:t xml:space="preserve"> országos kiterjesztéséhez” című</w:t>
      </w:r>
      <w:r w:rsidRPr="00A66E98">
        <w:rPr>
          <w:rFonts w:eastAsia="Calibri"/>
          <w:b/>
          <w:bCs/>
          <w:sz w:val="26"/>
          <w:szCs w:val="26"/>
        </w:rPr>
        <w:t xml:space="preserve"> </w:t>
      </w:r>
      <w:r w:rsidRPr="00A66E98">
        <w:rPr>
          <w:b/>
          <w:i/>
          <w:sz w:val="26"/>
          <w:szCs w:val="26"/>
        </w:rPr>
        <w:t>p</w:t>
      </w:r>
      <w:r w:rsidRPr="00A66E98">
        <w:rPr>
          <w:b/>
          <w:i/>
          <w:sz w:val="26"/>
        </w:rPr>
        <w:t>ályázatban megjelölt vagy meghatározott egyes hardver elemek beszerzése</w:t>
      </w:r>
      <w:r w:rsidR="00871E3E" w:rsidRPr="00A66E98">
        <w:rPr>
          <w:b/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871E3E">
        <w:rPr>
          <w:sz w:val="26"/>
        </w:rPr>
        <w:t>7</w:t>
      </w:r>
      <w:r w:rsidR="00BA2682">
        <w:rPr>
          <w:sz w:val="26"/>
        </w:rPr>
        <w:t xml:space="preserve">. </w:t>
      </w:r>
      <w:r w:rsidR="00E37962">
        <w:rPr>
          <w:sz w:val="26"/>
        </w:rPr>
        <w:t>augusztus 9</w:t>
      </w:r>
      <w:proofErr w:type="gramStart"/>
      <w:r w:rsidR="00E37962">
        <w:rPr>
          <w:sz w:val="26"/>
        </w:rPr>
        <w:t>.,</w:t>
      </w:r>
      <w:proofErr w:type="gramEnd"/>
      <w:r w:rsidR="00E37962">
        <w:rPr>
          <w:sz w:val="26"/>
        </w:rPr>
        <w:t xml:space="preserve"> 9</w:t>
      </w:r>
      <w:r w:rsidR="00E37962" w:rsidRPr="00995E6F">
        <w:rPr>
          <w:sz w:val="26"/>
          <w:u w:val="single"/>
          <w:vertAlign w:val="superscript"/>
        </w:rPr>
        <w:t>00</w:t>
      </w:r>
      <w:r w:rsidR="00E37962">
        <w:rPr>
          <w:sz w:val="26"/>
        </w:rPr>
        <w:t xml:space="preserve"> óra</w:t>
      </w:r>
      <w:r>
        <w:rPr>
          <w:sz w:val="26"/>
        </w:rPr>
        <w:t xml:space="preserve">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211. szoba, Kiss Csaba informatikai munkatársnál</w:t>
      </w:r>
    </w:p>
    <w:p w:rsidR="00F1604F" w:rsidRPr="00C271E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Dátum: 201</w:t>
      </w:r>
      <w:r w:rsidR="00871E3E" w:rsidRPr="00C271E6">
        <w:rPr>
          <w:sz w:val="26"/>
        </w:rPr>
        <w:t>7</w:t>
      </w:r>
      <w:r w:rsidRPr="00C271E6">
        <w:rPr>
          <w:sz w:val="26"/>
        </w:rPr>
        <w:t>.</w:t>
      </w:r>
      <w:r w:rsidR="005E1D04" w:rsidRPr="00C271E6">
        <w:rPr>
          <w:sz w:val="26"/>
        </w:rPr>
        <w:t xml:space="preserve"> </w:t>
      </w:r>
      <w:r w:rsidR="00E37962">
        <w:rPr>
          <w:sz w:val="26"/>
        </w:rPr>
        <w:t>augusztus 9</w:t>
      </w:r>
      <w:proofErr w:type="gramStart"/>
      <w:r w:rsidR="00E37962">
        <w:rPr>
          <w:sz w:val="26"/>
        </w:rPr>
        <w:t>.,</w:t>
      </w:r>
      <w:proofErr w:type="gramEnd"/>
      <w:r w:rsidR="00E37962">
        <w:rPr>
          <w:sz w:val="26"/>
        </w:rPr>
        <w:t xml:space="preserve"> 9</w:t>
      </w:r>
      <w:r w:rsidR="00E37962" w:rsidRPr="00995E6F">
        <w:rPr>
          <w:sz w:val="26"/>
          <w:u w:val="single"/>
          <w:vertAlign w:val="superscript"/>
        </w:rPr>
        <w:t>00</w:t>
      </w:r>
      <w:r w:rsidR="00E37962"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1E3E">
        <w:rPr>
          <w:sz w:val="26"/>
        </w:rPr>
        <w:t xml:space="preserve">7. </w:t>
      </w:r>
      <w:r w:rsidR="00BA2682">
        <w:rPr>
          <w:sz w:val="26"/>
        </w:rPr>
        <w:t>augusztus</w:t>
      </w:r>
      <w:r w:rsidR="00E37962">
        <w:rPr>
          <w:sz w:val="26"/>
        </w:rPr>
        <w:t xml:space="preserve"> </w:t>
      </w:r>
      <w:r w:rsidR="005E1D04" w:rsidRPr="00C271E6">
        <w:rPr>
          <w:sz w:val="26"/>
        </w:rPr>
        <w:t>11.</w:t>
      </w:r>
      <w:r w:rsidR="005E1D04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E1D04" w:rsidRPr="00C271E6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C271E6">
        <w:rPr>
          <w:b/>
          <w:sz w:val="26"/>
        </w:rPr>
        <w:lastRenderedPageBreak/>
        <w:t xml:space="preserve">12. Bírálati szempontok: </w:t>
      </w:r>
    </w:p>
    <w:p w:rsidR="00E37962" w:rsidRDefault="00E3796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5E1D04" w:rsidRPr="00C271E6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 xml:space="preserve">Ajánlati ár. </w:t>
      </w:r>
    </w:p>
    <w:p w:rsidR="005E1D04" w:rsidRPr="005E1D04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color w:val="FF00FF"/>
          <w:sz w:val="26"/>
        </w:rPr>
      </w:pPr>
    </w:p>
    <w:p w:rsidR="00F1604F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</w:t>
      </w:r>
      <w:r w:rsidR="00F1604F"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204BE">
        <w:rPr>
          <w:sz w:val="26"/>
        </w:rPr>
        <w:t xml:space="preserve">7. </w:t>
      </w:r>
      <w:r w:rsidR="00BA2682">
        <w:rPr>
          <w:sz w:val="26"/>
        </w:rPr>
        <w:t>augusztus</w:t>
      </w:r>
      <w:r>
        <w:rPr>
          <w:sz w:val="26"/>
        </w:rPr>
        <w:t xml:space="preserve"> </w:t>
      </w:r>
      <w:r w:rsidR="00E37962">
        <w:rPr>
          <w:sz w:val="26"/>
        </w:rPr>
        <w:t>18.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E0B65" w:rsidRPr="00A66E98" w:rsidRDefault="00A66E9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A66E98">
        <w:rPr>
          <w:sz w:val="26"/>
        </w:rPr>
        <w:t xml:space="preserve">A KÖFOP-1.2.1-VEKOP-16 kódszámú </w:t>
      </w:r>
      <w:r w:rsidRPr="00A66E98">
        <w:rPr>
          <w:b/>
          <w:i/>
          <w:sz w:val="26"/>
          <w:szCs w:val="26"/>
        </w:rPr>
        <w:t>„</w:t>
      </w:r>
      <w:r w:rsidRPr="00A66E98">
        <w:rPr>
          <w:rFonts w:eastAsia="Calibri"/>
          <w:b/>
          <w:bCs/>
          <w:i/>
          <w:sz w:val="26"/>
          <w:szCs w:val="26"/>
        </w:rPr>
        <w:t xml:space="preserve">Csatlakoztatási konstrukció az önkormányzati </w:t>
      </w:r>
      <w:proofErr w:type="spellStart"/>
      <w:r w:rsidRPr="00A66E98">
        <w:rPr>
          <w:rFonts w:eastAsia="Calibri"/>
          <w:b/>
          <w:bCs/>
          <w:i/>
          <w:sz w:val="26"/>
          <w:szCs w:val="26"/>
        </w:rPr>
        <w:t>ASP-rendszer</w:t>
      </w:r>
      <w:proofErr w:type="spellEnd"/>
      <w:r w:rsidRPr="00A66E98">
        <w:rPr>
          <w:rFonts w:eastAsia="Calibri"/>
          <w:b/>
          <w:bCs/>
          <w:i/>
          <w:sz w:val="26"/>
          <w:szCs w:val="26"/>
        </w:rPr>
        <w:t xml:space="preserve"> országos kiterjesztéséhez”</w:t>
      </w:r>
      <w:r w:rsidRPr="00A66E98">
        <w:rPr>
          <w:rFonts w:eastAsia="Calibri"/>
          <w:bCs/>
          <w:sz w:val="26"/>
          <w:szCs w:val="26"/>
        </w:rPr>
        <w:t xml:space="preserve"> című </w:t>
      </w:r>
      <w:r w:rsidRPr="00A66E98">
        <w:rPr>
          <w:sz w:val="26"/>
          <w:szCs w:val="26"/>
        </w:rPr>
        <w:t>p</w:t>
      </w:r>
      <w:r w:rsidRPr="00A66E98">
        <w:rPr>
          <w:sz w:val="26"/>
        </w:rPr>
        <w:t>ályázatban megjelölt vagy meghatározott egyes hardver elemek beszerzése</w:t>
      </w:r>
      <w:r w:rsidR="006254BF" w:rsidRPr="00A66E98">
        <w:rPr>
          <w:sz w:val="26"/>
        </w:rPr>
        <w:t>:</w:t>
      </w:r>
    </w:p>
    <w:p w:rsidR="00122801" w:rsidRDefault="0012280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1E15F1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793"/>
      </w:tblGrid>
      <w:tr w:rsidR="00A66E98" w:rsidTr="00A66E98">
        <w:tc>
          <w:tcPr>
            <w:tcW w:w="3936" w:type="dxa"/>
          </w:tcPr>
          <w:p w:rsidR="00A66E98" w:rsidRPr="00120264" w:rsidRDefault="00A66E98" w:rsidP="001228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Hardver elem megjelölése</w:t>
            </w:r>
          </w:p>
        </w:tc>
        <w:tc>
          <w:tcPr>
            <w:tcW w:w="1559" w:type="dxa"/>
          </w:tcPr>
          <w:p w:rsidR="00A66E98" w:rsidRPr="00120264" w:rsidRDefault="00A66E98" w:rsidP="001228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Darabszám</w:t>
            </w:r>
          </w:p>
        </w:tc>
        <w:tc>
          <w:tcPr>
            <w:tcW w:w="3793" w:type="dxa"/>
          </w:tcPr>
          <w:p w:rsidR="00A66E98" w:rsidRDefault="00A66E98" w:rsidP="00A66E9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Típus</w:t>
            </w:r>
          </w:p>
        </w:tc>
      </w:tr>
      <w:tr w:rsidR="00A66E98" w:rsidTr="00A66E98">
        <w:tc>
          <w:tcPr>
            <w:tcW w:w="3936" w:type="dxa"/>
          </w:tcPr>
          <w:p w:rsidR="00A66E98" w:rsidRDefault="00A66E98" w:rsidP="00A66E98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elektronikus személyi igazolványt kezelő kártyaolvasó </w:t>
            </w:r>
          </w:p>
        </w:tc>
        <w:tc>
          <w:tcPr>
            <w:tcW w:w="1559" w:type="dxa"/>
          </w:tcPr>
          <w:p w:rsidR="00A66E98" w:rsidRDefault="00A66E98" w:rsidP="00A66E98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ind w:left="720"/>
              <w:jc w:val="both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3793" w:type="dxa"/>
          </w:tcPr>
          <w:p w:rsidR="00A66E98" w:rsidRDefault="00FB308E" w:rsidP="00FB308E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 w:rsidRPr="009E3C97">
              <w:rPr>
                <w:sz w:val="26"/>
              </w:rPr>
              <w:t xml:space="preserve">REINERSCT </w:t>
            </w:r>
            <w:proofErr w:type="spellStart"/>
            <w:r w:rsidRPr="009E3C97">
              <w:rPr>
                <w:sz w:val="26"/>
              </w:rPr>
              <w:t>cyberJack</w:t>
            </w:r>
            <w:proofErr w:type="spellEnd"/>
            <w:r w:rsidRPr="009E3C97">
              <w:rPr>
                <w:sz w:val="26"/>
              </w:rPr>
              <w:t xml:space="preserve">® RFID </w:t>
            </w:r>
            <w:proofErr w:type="spellStart"/>
            <w:r w:rsidRPr="009E3C97">
              <w:rPr>
                <w:sz w:val="26"/>
              </w:rPr>
              <w:t>basis</w:t>
            </w:r>
            <w:proofErr w:type="spellEnd"/>
            <w:r>
              <w:rPr>
                <w:sz w:val="26"/>
              </w:rPr>
              <w:t xml:space="preserve"> kártyaolvasó</w:t>
            </w:r>
            <w:r w:rsidRPr="009E3C97">
              <w:rPr>
                <w:sz w:val="26"/>
              </w:rPr>
              <w:t xml:space="preserve"> készülék USB 2.0 csatlakozókábellel</w:t>
            </w:r>
          </w:p>
        </w:tc>
      </w:tr>
      <w:tr w:rsidR="00A66E98" w:rsidTr="00A66E98">
        <w:tc>
          <w:tcPr>
            <w:tcW w:w="3936" w:type="dxa"/>
          </w:tcPr>
          <w:p w:rsidR="00A66E98" w:rsidRDefault="00A66E98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hálózati SWITCH</w:t>
            </w:r>
          </w:p>
        </w:tc>
        <w:tc>
          <w:tcPr>
            <w:tcW w:w="1559" w:type="dxa"/>
          </w:tcPr>
          <w:p w:rsidR="00A66E98" w:rsidRDefault="00A66E98" w:rsidP="00A66E98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ind w:left="72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793" w:type="dxa"/>
          </w:tcPr>
          <w:p w:rsidR="00A66E98" w:rsidRDefault="00F26572" w:rsidP="00F2657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 w:rsidRPr="00F26572">
              <w:rPr>
                <w:sz w:val="26"/>
              </w:rPr>
              <w:t xml:space="preserve">Cisco SG300-52 48 LAN 10/100/1000Mbps, 4 </w:t>
            </w:r>
            <w:proofErr w:type="spellStart"/>
            <w:r w:rsidRPr="00F26572">
              <w:rPr>
                <w:sz w:val="26"/>
              </w:rPr>
              <w:t>miniGBIC</w:t>
            </w:r>
            <w:proofErr w:type="spellEnd"/>
            <w:r w:rsidRPr="00F26572">
              <w:rPr>
                <w:sz w:val="26"/>
              </w:rPr>
              <w:t xml:space="preserve"> menedzselhető </w:t>
            </w:r>
            <w:proofErr w:type="spellStart"/>
            <w:r w:rsidRPr="00F26572">
              <w:rPr>
                <w:sz w:val="26"/>
              </w:rPr>
              <w:t>rack</w:t>
            </w:r>
            <w:proofErr w:type="spellEnd"/>
            <w:r w:rsidRPr="00F26572">
              <w:rPr>
                <w:sz w:val="26"/>
              </w:rPr>
              <w:t xml:space="preserve"> </w:t>
            </w:r>
            <w:proofErr w:type="spellStart"/>
            <w:r w:rsidRPr="00F26572">
              <w:rPr>
                <w:sz w:val="26"/>
              </w:rPr>
              <w:t>switch</w:t>
            </w:r>
            <w:proofErr w:type="spellEnd"/>
          </w:p>
        </w:tc>
      </w:tr>
    </w:tbl>
    <w:p w:rsidR="001E15F1" w:rsidRPr="006254BF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84C21" w:rsidRDefault="00D84C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DA35C8" w:rsidRPr="00DA35C8" w:rsidRDefault="0041131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szállításra kerülő hardver elemekre minimum a gyári garancia biztosítása.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6</w:t>
      </w:r>
      <w:r>
        <w:rPr>
          <w:b/>
          <w:sz w:val="26"/>
        </w:rPr>
        <w:t xml:space="preserve">. Hiánypótlás és helyszíni megtekintés lehetősége: </w:t>
      </w:r>
      <w:r w:rsidR="002B7928">
        <w:rPr>
          <w:i/>
          <w:sz w:val="26"/>
        </w:rPr>
        <w:t>nem biztosított.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5E1D04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>
        <w:rPr>
          <w:sz w:val="26"/>
        </w:rPr>
        <w:t>201</w:t>
      </w:r>
      <w:r w:rsidR="00BA2682">
        <w:rPr>
          <w:sz w:val="26"/>
        </w:rPr>
        <w:t>7</w:t>
      </w:r>
      <w:r w:rsidR="00FE7490">
        <w:rPr>
          <w:sz w:val="26"/>
        </w:rPr>
        <w:t>.</w:t>
      </w:r>
      <w:r>
        <w:rPr>
          <w:sz w:val="26"/>
        </w:rPr>
        <w:t xml:space="preserve"> </w:t>
      </w:r>
      <w:r w:rsidR="00BA2682">
        <w:rPr>
          <w:sz w:val="26"/>
        </w:rPr>
        <w:t>augusztus</w:t>
      </w:r>
      <w:r>
        <w:rPr>
          <w:sz w:val="26"/>
        </w:rPr>
        <w:t xml:space="preserve"> </w:t>
      </w:r>
      <w:r w:rsidR="00FE7490">
        <w:rPr>
          <w:sz w:val="26"/>
        </w:rPr>
        <w:t>3.</w:t>
      </w:r>
      <w:r>
        <w:rPr>
          <w:sz w:val="26"/>
        </w:rPr>
        <w:t xml:space="preserve"> </w:t>
      </w:r>
      <w:r w:rsidR="00BA2682">
        <w:rPr>
          <w:sz w:val="26"/>
        </w:rPr>
        <w:t>9</w:t>
      </w:r>
      <w:r w:rsidR="00FE7490" w:rsidRPr="00FE7490">
        <w:rPr>
          <w:sz w:val="26"/>
          <w:u w:val="single"/>
          <w:vertAlign w:val="superscript"/>
        </w:rPr>
        <w:t>00</w:t>
      </w:r>
      <w:r w:rsidR="00BA2682">
        <w:rPr>
          <w:sz w:val="26"/>
        </w:rPr>
        <w:t xml:space="preserve"> </w:t>
      </w:r>
      <w:r>
        <w:rPr>
          <w:sz w:val="26"/>
        </w:rPr>
        <w:t>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1D04">
        <w:rPr>
          <w:sz w:val="26"/>
          <w:szCs w:val="26"/>
        </w:rPr>
        <w:t>8</w:t>
      </w:r>
      <w:r>
        <w:rPr>
          <w:sz w:val="26"/>
          <w:szCs w:val="26"/>
        </w:rPr>
        <w:t>.1 Az ajánlattétel megtör</w:t>
      </w:r>
      <w:r w:rsidR="00FE7490">
        <w:rPr>
          <w:sz w:val="26"/>
          <w:szCs w:val="26"/>
        </w:rPr>
        <w:t>téntével Ajánlattevő hozzájárul</w:t>
      </w:r>
      <w:r>
        <w:rPr>
          <w:sz w:val="26"/>
          <w:szCs w:val="26"/>
        </w:rPr>
        <w:t xml:space="preserve"> 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5E1D04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 xml:space="preserve">) a megkötésére, amelyek esetén a fentebb </w:t>
      </w:r>
      <w:r w:rsidRPr="00BC3CA2">
        <w:rPr>
          <w:szCs w:val="26"/>
        </w:rPr>
        <w:lastRenderedPageBreak/>
        <w:t>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- A szerződés mellékletét képezi </w:t>
      </w:r>
      <w:r w:rsidR="00FE7490">
        <w:rPr>
          <w:szCs w:val="26"/>
        </w:rPr>
        <w:t>a 2</w:t>
      </w:r>
      <w:r>
        <w:rPr>
          <w:szCs w:val="26"/>
        </w:rPr>
        <w:t>.</w:t>
      </w:r>
      <w:r w:rsidRPr="00BC3CA2">
        <w:rPr>
          <w:szCs w:val="26"/>
        </w:rPr>
        <w:t xml:space="preserve"> melléklet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5E1D04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7847EE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2017. július 21.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Bráz</w:t>
      </w:r>
      <w:proofErr w:type="spellEnd"/>
      <w:r>
        <w:rPr>
          <w:b/>
          <w:sz w:val="26"/>
        </w:rPr>
        <w:t xml:space="preserve"> György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b/>
          <w:sz w:val="26"/>
        </w:rPr>
        <w:t>polgármester</w:t>
      </w:r>
      <w:proofErr w:type="gramEnd"/>
    </w:p>
    <w:p w:rsidR="00FE7490" w:rsidRDefault="00FE7490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bookmarkStart w:id="0" w:name="_GoBack"/>
      <w:bookmarkEnd w:id="0"/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FE7490" w:rsidRPr="00907EA2" w:rsidRDefault="00FE7490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Ajánlattételi felolvasólap</w:t>
      </w:r>
    </w:p>
    <w:sectPr w:rsidR="00FE7490" w:rsidRPr="00907EA2" w:rsidSect="001A0A5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2E" w:rsidRDefault="00B82A2E" w:rsidP="001A0A5A">
      <w:r>
        <w:separator/>
      </w:r>
    </w:p>
  </w:endnote>
  <w:endnote w:type="continuationSeparator" w:id="0">
    <w:p w:rsidR="00B82A2E" w:rsidRDefault="00B82A2E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2E" w:rsidRDefault="00B82A2E" w:rsidP="001A0A5A">
      <w:r>
        <w:separator/>
      </w:r>
    </w:p>
  </w:footnote>
  <w:footnote w:type="continuationSeparator" w:id="0">
    <w:p w:rsidR="00B82A2E" w:rsidRDefault="00B82A2E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5A" w:rsidRDefault="001A0A5A" w:rsidP="00BA2682">
    <w:pPr>
      <w:pStyle w:val="lfej"/>
    </w:pPr>
  </w:p>
  <w:p w:rsidR="00BA2682" w:rsidRPr="00BA2682" w:rsidRDefault="00BA2682" w:rsidP="00BA26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66"/>
    <w:multiLevelType w:val="hybridMultilevel"/>
    <w:tmpl w:val="0C26779A"/>
    <w:lvl w:ilvl="0" w:tplc="485A367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545"/>
    <w:multiLevelType w:val="hybridMultilevel"/>
    <w:tmpl w:val="B0A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D82ED0"/>
    <w:multiLevelType w:val="hybridMultilevel"/>
    <w:tmpl w:val="1DFE0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11EEA"/>
    <w:rsid w:val="00042625"/>
    <w:rsid w:val="000834A0"/>
    <w:rsid w:val="00110A47"/>
    <w:rsid w:val="00120264"/>
    <w:rsid w:val="00122801"/>
    <w:rsid w:val="001343E6"/>
    <w:rsid w:val="00184F9A"/>
    <w:rsid w:val="001A0A5A"/>
    <w:rsid w:val="001E15F1"/>
    <w:rsid w:val="001F3137"/>
    <w:rsid w:val="002009E5"/>
    <w:rsid w:val="00226245"/>
    <w:rsid w:val="00266A7B"/>
    <w:rsid w:val="00293FEA"/>
    <w:rsid w:val="002950F1"/>
    <w:rsid w:val="002A0DCA"/>
    <w:rsid w:val="002B7928"/>
    <w:rsid w:val="002E0940"/>
    <w:rsid w:val="003437BF"/>
    <w:rsid w:val="003E0B65"/>
    <w:rsid w:val="00405D03"/>
    <w:rsid w:val="00411314"/>
    <w:rsid w:val="004204BE"/>
    <w:rsid w:val="00427093"/>
    <w:rsid w:val="00436E1A"/>
    <w:rsid w:val="0044320E"/>
    <w:rsid w:val="004809E1"/>
    <w:rsid w:val="00483904"/>
    <w:rsid w:val="004A60F6"/>
    <w:rsid w:val="004D0E02"/>
    <w:rsid w:val="00566B09"/>
    <w:rsid w:val="005739B9"/>
    <w:rsid w:val="005E1D04"/>
    <w:rsid w:val="00612470"/>
    <w:rsid w:val="006254BF"/>
    <w:rsid w:val="006D6A87"/>
    <w:rsid w:val="00736451"/>
    <w:rsid w:val="0076156B"/>
    <w:rsid w:val="007847EE"/>
    <w:rsid w:val="007D2BB9"/>
    <w:rsid w:val="007E0ECD"/>
    <w:rsid w:val="00871E3E"/>
    <w:rsid w:val="00907EA2"/>
    <w:rsid w:val="00974093"/>
    <w:rsid w:val="00A56690"/>
    <w:rsid w:val="00A65BE9"/>
    <w:rsid w:val="00A66E98"/>
    <w:rsid w:val="00B37833"/>
    <w:rsid w:val="00B55ACE"/>
    <w:rsid w:val="00B57A12"/>
    <w:rsid w:val="00B82A2E"/>
    <w:rsid w:val="00B871BD"/>
    <w:rsid w:val="00B90CF6"/>
    <w:rsid w:val="00BA2682"/>
    <w:rsid w:val="00BD3DE4"/>
    <w:rsid w:val="00BE7A90"/>
    <w:rsid w:val="00BF5D5A"/>
    <w:rsid w:val="00C271E6"/>
    <w:rsid w:val="00C31FD4"/>
    <w:rsid w:val="00C944B0"/>
    <w:rsid w:val="00D07523"/>
    <w:rsid w:val="00D84C21"/>
    <w:rsid w:val="00DA2F09"/>
    <w:rsid w:val="00DA35C8"/>
    <w:rsid w:val="00E22526"/>
    <w:rsid w:val="00E37962"/>
    <w:rsid w:val="00E7639A"/>
    <w:rsid w:val="00EC6FEB"/>
    <w:rsid w:val="00EE0D19"/>
    <w:rsid w:val="00EE46D8"/>
    <w:rsid w:val="00F1604F"/>
    <w:rsid w:val="00F23DC0"/>
    <w:rsid w:val="00F26572"/>
    <w:rsid w:val="00F8247E"/>
    <w:rsid w:val="00F84510"/>
    <w:rsid w:val="00FB308E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10EF10-BEB2-4074-BFF8-3F1A02E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95F2-04A8-4832-9190-1FFA6DB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1418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KardosA</cp:lastModifiedBy>
  <cp:revision>5</cp:revision>
  <cp:lastPrinted>2017-07-20T12:43:00Z</cp:lastPrinted>
  <dcterms:created xsi:type="dcterms:W3CDTF">2017-07-21T06:37:00Z</dcterms:created>
  <dcterms:modified xsi:type="dcterms:W3CDTF">2017-07-21T07:59:00Z</dcterms:modified>
</cp:coreProperties>
</file>